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540" w:type="dxa"/>
        <w:tblInd w:w="93" w:type="dxa"/>
        <w:tblLook w:val="04A0"/>
      </w:tblPr>
      <w:tblGrid>
        <w:gridCol w:w="4160"/>
        <w:gridCol w:w="3380"/>
      </w:tblGrid>
      <w:tr w:rsidR="00E11E52" w:rsidRPr="00E11E52" w:rsidTr="00E11E52">
        <w:trPr>
          <w:trHeight w:val="1545"/>
        </w:trPr>
        <w:tc>
          <w:tcPr>
            <w:tcW w:w="4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3CDDD"/>
            <w:hideMark/>
          </w:tcPr>
          <w:p w:rsidR="00E11E52" w:rsidRPr="00E11E52" w:rsidRDefault="00E11E52" w:rsidP="00E11E5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E11E52">
              <w:rPr>
                <w:rFonts w:ascii="Arial" w:eastAsia="Times New Roman" w:hAnsi="Arial" w:cs="Arial"/>
                <w:sz w:val="16"/>
                <w:szCs w:val="16"/>
              </w:rPr>
              <w:t xml:space="preserve">Государственное регулирование экономики </w:t>
            </w:r>
          </w:p>
        </w:tc>
        <w:tc>
          <w:tcPr>
            <w:tcW w:w="3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3CDDD"/>
            <w:hideMark/>
          </w:tcPr>
          <w:p w:rsidR="00E11E52" w:rsidRPr="00E11E52" w:rsidRDefault="00E11E52" w:rsidP="00E11E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11E52">
              <w:rPr>
                <w:rFonts w:ascii="Arial" w:eastAsia="Times New Roman" w:hAnsi="Arial" w:cs="Arial"/>
                <w:sz w:val="20"/>
                <w:szCs w:val="20"/>
              </w:rPr>
              <w:t>Государственное регулирование внешнеэкономической деятельности. Понятие. Меры стимулирования экспорта и ограничения импорта. Свободная торговля и протекционизм.</w:t>
            </w:r>
          </w:p>
        </w:tc>
      </w:tr>
    </w:tbl>
    <w:p w:rsidR="00481421" w:rsidRDefault="00481421"/>
    <w:sectPr w:rsidR="00481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1E52"/>
    <w:rsid w:val="00481421"/>
    <w:rsid w:val="00E11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6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2014-04-07T04:35:00Z</dcterms:created>
  <dcterms:modified xsi:type="dcterms:W3CDTF">2014-04-07T04:35:00Z</dcterms:modified>
</cp:coreProperties>
</file>