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85" w:rsidRDefault="00CC7A85" w:rsidP="00CC7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widowControl/>
        <w:autoSpaceDE/>
        <w:adjustRightInd/>
        <w:spacing w:line="360" w:lineRule="auto"/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паровых котлов ДЕ10-14ГМ, которые необходимо установить в </w:t>
      </w:r>
      <w:proofErr w:type="spellStart"/>
      <w:r>
        <w:rPr>
          <w:sz w:val="28"/>
          <w:szCs w:val="28"/>
        </w:rPr>
        <w:t>производственно</w:t>
      </w:r>
      <w:proofErr w:type="spellEnd"/>
      <w:r>
        <w:rPr>
          <w:sz w:val="28"/>
          <w:szCs w:val="28"/>
        </w:rPr>
        <w:t xml:space="preserve"> – отопительной котельной если: Расход пара на технологические нужды </w:t>
      </w:r>
      <w:proofErr w:type="spellStart"/>
      <w:r>
        <w:rPr>
          <w:i/>
          <w:sz w:val="28"/>
          <w:szCs w:val="28"/>
        </w:rPr>
        <w:t>Д</w:t>
      </w:r>
      <w:r>
        <w:rPr>
          <w:i/>
          <w:sz w:val="28"/>
          <w:szCs w:val="28"/>
          <w:vertAlign w:val="subscript"/>
        </w:rPr>
        <w:t>т</w:t>
      </w:r>
      <w:proofErr w:type="spellEnd"/>
      <w:r>
        <w:rPr>
          <w:i/>
          <w:sz w:val="28"/>
          <w:szCs w:val="28"/>
          <w:vertAlign w:val="subscript"/>
        </w:rPr>
        <w:t xml:space="preserve"> (</w:t>
      </w:r>
      <w:r>
        <w:rPr>
          <w:sz w:val="28"/>
          <w:szCs w:val="28"/>
        </w:rPr>
        <w:t xml:space="preserve">т/ч); нагрузка на отопление, вентиляцию, горячее водоснабжение – </w:t>
      </w:r>
      <w:r>
        <w:rPr>
          <w:i/>
          <w:sz w:val="28"/>
          <w:szCs w:val="28"/>
          <w:lang w:val="en-US"/>
        </w:rPr>
        <w:t>Q</w:t>
      </w:r>
      <w:proofErr w:type="spellStart"/>
      <w:r>
        <w:rPr>
          <w:i/>
          <w:sz w:val="28"/>
          <w:szCs w:val="28"/>
          <w:vertAlign w:val="subscript"/>
        </w:rPr>
        <w:t>о.в.гвс</w:t>
      </w:r>
      <w:proofErr w:type="spellEnd"/>
      <w:r>
        <w:rPr>
          <w:sz w:val="28"/>
          <w:szCs w:val="28"/>
        </w:rPr>
        <w:t xml:space="preserve"> (ГДж/ч); давление пара в барабане котла 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к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=0,7 МПа; температура конденсата на выходе из сетевых подогревателей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 xml:space="preserve">к </w:t>
      </w:r>
      <w:proofErr w:type="spellStart"/>
      <w:r>
        <w:rPr>
          <w:i/>
          <w:sz w:val="28"/>
          <w:szCs w:val="28"/>
          <w:vertAlign w:val="subscript"/>
        </w:rPr>
        <w:t>сп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>= 80</w:t>
      </w:r>
      <w:proofErr w:type="gramStart"/>
      <w:r>
        <w:rPr>
          <w:sz w:val="28"/>
          <w:szCs w:val="28"/>
        </w:rPr>
        <w:t xml:space="preserve">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85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; расход пара на собственные нужды котельной принять в размере – 5% расхода пара внешними потребителями </w:t>
      </w:r>
      <w:proofErr w:type="spellStart"/>
      <w:r>
        <w:rPr>
          <w:i/>
          <w:sz w:val="28"/>
          <w:szCs w:val="28"/>
        </w:rPr>
        <w:t>Д</w:t>
      </w:r>
      <w:r>
        <w:rPr>
          <w:i/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</w:rPr>
        <w:t xml:space="preserve">; потери пара внутри котельной принять в размере – 3% </w:t>
      </w:r>
      <w:proofErr w:type="spellStart"/>
      <w:r>
        <w:rPr>
          <w:i/>
          <w:sz w:val="28"/>
          <w:szCs w:val="28"/>
        </w:rPr>
        <w:t>Д</w:t>
      </w:r>
      <w:r>
        <w:rPr>
          <w:i/>
          <w:sz w:val="28"/>
          <w:szCs w:val="28"/>
          <w:vertAlign w:val="subscript"/>
        </w:rPr>
        <w:t>вн</w:t>
      </w:r>
      <w:proofErr w:type="spellEnd"/>
      <w:r>
        <w:rPr>
          <w:i/>
          <w:sz w:val="28"/>
          <w:szCs w:val="28"/>
          <w:vertAlign w:val="subscript"/>
        </w:rPr>
        <w:t>.</w:t>
      </w:r>
    </w:p>
    <w:p w:rsidR="00CC7A85" w:rsidRDefault="00CC7A85" w:rsidP="00CC7A85">
      <w:pPr>
        <w:jc w:val="center"/>
        <w:rPr>
          <w:b/>
          <w:sz w:val="28"/>
          <w:szCs w:val="28"/>
        </w:rPr>
      </w:pPr>
    </w:p>
    <w:tbl>
      <w:tblPr>
        <w:tblW w:w="2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08"/>
      </w:tblGrid>
      <w:tr w:rsidR="00CC7A85" w:rsidTr="00CC7A85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widowControl/>
              <w:autoSpaceDE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CC7A85" w:rsidTr="00CC7A85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widowControl/>
              <w:autoSpaceDE/>
              <w:adjustRightInd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Расход пара на технологические </w:t>
            </w:r>
            <w:proofErr w:type="spellStart"/>
            <w:r>
              <w:rPr>
                <w:sz w:val="24"/>
                <w:szCs w:val="24"/>
              </w:rPr>
              <w:t>нужды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C7A85" w:rsidTr="00CC7A85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теплоты на отопление, вентиляцию и ГВС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</w:tbl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№2</w:t>
      </w:r>
    </w:p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теплоты, воспринятое водой и конвективную поверхность нагрева  экономайзера котельного агрегата </w:t>
      </w:r>
      <w:proofErr w:type="spellStart"/>
      <w:r>
        <w:rPr>
          <w:sz w:val="28"/>
          <w:szCs w:val="28"/>
        </w:rPr>
        <w:t>паропроиз-водительностью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кг/с. Температура воды на входе в экономайзер 104</w:t>
      </w:r>
      <w:proofErr w:type="gramStart"/>
      <w:r>
        <w:rPr>
          <w:sz w:val="28"/>
          <w:szCs w:val="28"/>
        </w:rPr>
        <w:object w:dxaOrig="13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pt;height:15.05pt" o:ole="" fillcolor="window">
            <v:imagedata r:id="rId6" o:title=""/>
          </v:shape>
          <o:OLEObject Type="Embed" ProgID="Equation.3" ShapeID="_x0000_i1025" DrawAspect="Content" ObjectID="_1460898070" r:id="rId7"/>
        </w:objec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 на выходе 164</w:t>
      </w:r>
      <w:r>
        <w:rPr>
          <w:sz w:val="28"/>
          <w:szCs w:val="28"/>
        </w:rPr>
        <w:object w:dxaOrig="135" w:dyaOrig="300">
          <v:shape id="_x0000_i1026" type="#_x0000_t75" style="width:6.7pt;height:15.05pt" o:ole="" fillcolor="window">
            <v:imagedata r:id="rId6" o:title=""/>
          </v:shape>
          <o:OLEObject Type="Embed" ProgID="Equation.3" ShapeID="_x0000_i1026" DrawAspect="Content" ObjectID="_1460898071" r:id="rId8"/>
        </w:object>
      </w:r>
      <w:r>
        <w:rPr>
          <w:sz w:val="28"/>
          <w:szCs w:val="28"/>
        </w:rPr>
        <w:t>С. Температура газов на входе в экономайзер 290</w:t>
      </w:r>
      <w:r>
        <w:rPr>
          <w:sz w:val="28"/>
          <w:szCs w:val="28"/>
        </w:rPr>
        <w:object w:dxaOrig="135" w:dyaOrig="300">
          <v:shape id="_x0000_i1027" type="#_x0000_t75" style="width:6.7pt;height:15.05pt" o:ole="" fillcolor="window">
            <v:imagedata r:id="rId6" o:title=""/>
          </v:shape>
          <o:OLEObject Type="Embed" ProgID="Equation.3" ShapeID="_x0000_i1027" DrawAspect="Content" ObjectID="_1460898072" r:id="rId9"/>
        </w:object>
      </w:r>
      <w:r>
        <w:rPr>
          <w:sz w:val="28"/>
          <w:szCs w:val="28"/>
        </w:rPr>
        <w:t>С. на выходе 150</w:t>
      </w:r>
      <w:r>
        <w:rPr>
          <w:sz w:val="28"/>
          <w:szCs w:val="28"/>
        </w:rPr>
        <w:object w:dxaOrig="135" w:dyaOrig="300">
          <v:shape id="_x0000_i1028" type="#_x0000_t75" style="width:6.7pt;height:15.05pt" o:ole="" fillcolor="window">
            <v:imagedata r:id="rId6" o:title=""/>
          </v:shape>
          <o:OLEObject Type="Embed" ProgID="Equation.3" ShapeID="_x0000_i1028" DrawAspect="Content" ObjectID="_1460898073" r:id="rId10"/>
        </w:object>
      </w:r>
      <w:r>
        <w:rPr>
          <w:sz w:val="28"/>
          <w:szCs w:val="28"/>
        </w:rPr>
        <w:t xml:space="preserve">С. потери тепла от механической неполноты сгорания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object w:dxaOrig="165" w:dyaOrig="345">
          <v:shape id="_x0000_i1029" type="#_x0000_t75" style="width:8.35pt;height:17.6pt" o:ole="" fillcolor="window">
            <v:imagedata r:id="rId11" o:title=""/>
          </v:shape>
          <o:OLEObject Type="Embed" ProgID="Equation.3" ShapeID="_x0000_i1029" DrawAspect="Content" ObjectID="_1460898074" r:id="rId12"/>
        </w:object>
      </w:r>
      <w:r>
        <w:rPr>
          <w:sz w:val="28"/>
          <w:szCs w:val="28"/>
        </w:rPr>
        <w:t>= 3,5%. Коэффициент теплопередачи К</w:t>
      </w:r>
      <w:r>
        <w:rPr>
          <w:sz w:val="28"/>
          <w:szCs w:val="28"/>
        </w:rPr>
        <w:object w:dxaOrig="135" w:dyaOrig="360">
          <v:shape id="_x0000_i1030" type="#_x0000_t75" style="width:6.7pt;height:18.4pt" o:ole="" fillcolor="window">
            <v:imagedata r:id="rId13" o:title=""/>
          </v:shape>
          <o:OLEObject Type="Embed" ProgID="Equation.3" ShapeID="_x0000_i1030" DrawAspect="Content" ObjectID="_1460898075" r:id="rId14"/>
        </w:object>
      </w:r>
      <w:r>
        <w:rPr>
          <w:sz w:val="28"/>
          <w:szCs w:val="28"/>
        </w:rPr>
        <w:t>=0,021 кВт/(м</w:t>
      </w:r>
      <w:r>
        <w:rPr>
          <w:sz w:val="28"/>
          <w:szCs w:val="28"/>
        </w:rPr>
        <w:object w:dxaOrig="165" w:dyaOrig="300">
          <v:shape id="_x0000_i1031" type="#_x0000_t75" style="width:8.35pt;height:15.05pt" o:ole="" fillcolor="window">
            <v:imagedata r:id="rId15" o:title=""/>
          </v:shape>
          <o:OLEObject Type="Embed" ProgID="Equation.3" ShapeID="_x0000_i1031" DrawAspect="Content" ObjectID="_1460898076" r:id="rId16"/>
        </w:object>
      </w:r>
      <w:r>
        <w:rPr>
          <w:sz w:val="28"/>
          <w:szCs w:val="28"/>
        </w:rPr>
        <w:object w:dxaOrig="135" w:dyaOrig="300">
          <v:shape id="_x0000_i1032" type="#_x0000_t75" style="width:6.7pt;height:15.05pt" o:ole="" fillcolor="window">
            <v:imagedata r:id="rId6" o:title=""/>
          </v:shape>
          <o:OLEObject Type="Embed" ProgID="Equation.3" ShapeID="_x0000_i1032" DrawAspect="Content" ObjectID="_1460898077" r:id="rId17"/>
        </w:object>
      </w:r>
      <w:r>
        <w:rPr>
          <w:sz w:val="28"/>
          <w:szCs w:val="28"/>
        </w:rPr>
        <w:t>С). Натуральный расход топлива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кг/с.</w:t>
      </w:r>
    </w:p>
    <w:p w:rsidR="00CC7A85" w:rsidRDefault="00CC7A85" w:rsidP="00CC7A85">
      <w:pPr>
        <w:rPr>
          <w:sz w:val="28"/>
          <w:szCs w:val="28"/>
        </w:rPr>
      </w:pPr>
    </w:p>
    <w:tbl>
      <w:tblPr>
        <w:tblW w:w="2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08"/>
      </w:tblGrid>
      <w:tr w:rsidR="00CC7A85" w:rsidTr="00CC7A85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цифра шифра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CC7A85" w:rsidTr="00CC7A85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Паропроизво-дительность</w:t>
            </w:r>
            <w:proofErr w:type="spellEnd"/>
            <w:r>
              <w:rPr>
                <w:sz w:val="28"/>
                <w:szCs w:val="28"/>
              </w:rPr>
              <w:t xml:space="preserve"> генератора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,кг/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CC7A85" w:rsidTr="00CC7A85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Натуральный расход </w:t>
            </w:r>
            <w:proofErr w:type="spellStart"/>
            <w:r>
              <w:rPr>
                <w:sz w:val="28"/>
                <w:szCs w:val="28"/>
              </w:rPr>
              <w:t>топливаВ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5" w:rsidRDefault="00CC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0,330</w:t>
            </w:r>
          </w:p>
        </w:tc>
      </w:tr>
    </w:tbl>
    <w:p w:rsidR="00CC7A85" w:rsidRDefault="00CC7A85" w:rsidP="00CC7A85">
      <w:pPr>
        <w:rPr>
          <w:sz w:val="28"/>
          <w:szCs w:val="28"/>
        </w:rPr>
      </w:pPr>
    </w:p>
    <w:p w:rsidR="00237358" w:rsidRDefault="00237358"/>
    <w:sectPr w:rsidR="0023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85"/>
    <w:rsid w:val="00237358"/>
    <w:rsid w:val="00C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2014-05-06T12:12:00Z</dcterms:created>
  <dcterms:modified xsi:type="dcterms:W3CDTF">2014-05-06T12:15:00Z</dcterms:modified>
</cp:coreProperties>
</file>